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DB7831" w:rsidP="00AC7E7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Útočiště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DB7831">
        <w:rPr>
          <w:rFonts w:ascii="Arial" w:eastAsia="Calibri" w:hAnsi="Arial" w:cs="Arial"/>
          <w:bCs/>
          <w:i/>
          <w:sz w:val="22"/>
          <w:szCs w:val="22"/>
          <w:lang w:eastAsia="en-US"/>
        </w:rPr>
        <w:t>23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DB7831" w:rsidRDefault="00DB7831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Co skrývá tajemný ostrov? A co skrývá lidská mysl? Sandrine p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ijíždí na malý ostrov blízko pob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eží p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evzít majetek po zesnulé babi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ce. Brzy ale zjiš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ť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uje, že ostrov prostupuje nep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řá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telská atmosféra a obyvatelé st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eží neznámé tajemství. A po n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kolika dnech je Sandrine nalezena, jak bloumá po pláži s oble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ením zmá</w:t>
      </w:r>
      <w:r w:rsidRPr="00DB7831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b/>
          <w:sz w:val="22"/>
          <w:szCs w:val="22"/>
          <w:lang w:eastAsia="en-US"/>
        </w:rPr>
        <w:t>eným cizí krví...</w:t>
      </w:r>
    </w:p>
    <w:p w:rsidR="00837260" w:rsidRPr="00E20327" w:rsidRDefault="00DB7831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2602865" cy="3901440"/>
            <wp:effectExtent l="0" t="0" r="6985" b="3810"/>
            <wp:wrapTight wrapText="bothSides">
              <wp:wrapPolygon edited="0">
                <wp:start x="0" y="0"/>
                <wp:lineTo x="0" y="21516"/>
                <wp:lineTo x="21500" y="21516"/>
                <wp:lineTo x="2150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72" w:rsidRDefault="00DB7831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JEDINÁ MOŽNOST, JAK P</w:t>
      </w:r>
      <w:r w:rsidRPr="00DB7831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EŽÍT, JE UNIKNOUT…</w:t>
      </w:r>
    </w:p>
    <w:p w:rsidR="00DB7831" w:rsidRDefault="00DB7831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sz w:val="22"/>
          <w:szCs w:val="22"/>
          <w:lang w:eastAsia="en-US"/>
        </w:rPr>
        <w:t>Sandrine, která se p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ed nedávnem p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ist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hovala do Normandie, dostává výzvu od notá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e, aby si zajela p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evzít osobní 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ci z domu po své zem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elé babi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ce – svérázné žen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, jež žila osam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le na mali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kém ostrov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nedaleko pob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eží a odmítala se stýkat s dcerou i s vnu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kou.</w:t>
      </w:r>
    </w:p>
    <w:p w:rsidR="00DB7831" w:rsidRP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sz w:val="22"/>
          <w:szCs w:val="22"/>
          <w:lang w:eastAsia="en-US"/>
        </w:rPr>
        <w:t>Sandrine vystupuje z lodi na šedivém, chladném ostrov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setkává se s hrstkou obyvatel, starých lidí žijících v tém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naprostém odlou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ení od civilizace. Všichni jí popisují babi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ku jako milou a laskavou ženu, tedy obraz daleký tomu, co o ní Sandrine vypráv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la matka.</w:t>
      </w:r>
    </w:p>
    <w:p w:rsidR="00DB7831" w:rsidRP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sz w:val="22"/>
          <w:szCs w:val="22"/>
          <w:lang w:eastAsia="en-US"/>
        </w:rPr>
        <w:t>Na ostrov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vládne podivná atmosféra. Sta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pár hodin, aby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si Sandrine uv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domila, že zdejší obyvatelé skrývají n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jaké tajemství. Cosi, z 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eho mají hr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zu. Pro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tedy odtud nikdo z nich neodjede?</w:t>
      </w:r>
    </w:p>
    <w:p w:rsidR="00DB7831" w:rsidRP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sz w:val="22"/>
          <w:szCs w:val="22"/>
          <w:lang w:eastAsia="en-US"/>
        </w:rPr>
        <w:t>Co se stalo s d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tmi z prázdninového tábora, narychlo uzav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eného v roce 1949?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Namísto odpov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dí je mladá žena po n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kolika dnech nalezena, jak bloudí po pláži na pevnin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s oble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ením zmá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eným krví, která není její…</w:t>
      </w:r>
    </w:p>
    <w:p w:rsidR="00DB7831" w:rsidRP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sz w:val="22"/>
          <w:szCs w:val="22"/>
          <w:lang w:eastAsia="en-US"/>
        </w:rPr>
        <w:t>Román získal cenu za nejlepší francouzský román roku 2019, která se ud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luje na každoro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konaném literárním festivalu detektivek v Cognacu.</w:t>
      </w:r>
    </w:p>
    <w:p w:rsid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E20327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44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12</w:t>
      </w:r>
      <w:r w:rsid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×20</w:t>
      </w:r>
      <w:r w:rsid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0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7831">
        <w:rPr>
          <w:rFonts w:ascii="Arial" w:eastAsia="Calibri" w:hAnsi="Arial" w:cs="Arial"/>
          <w:b/>
          <w:bCs/>
          <w:sz w:val="22"/>
          <w:szCs w:val="22"/>
          <w:lang w:eastAsia="en-US"/>
        </w:rPr>
        <w:t>Jérôme Loubry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se narodil v roce 1976 v Saint-Amand-Montrondu. Psát romány cht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l už jako devítiletý, dlouhou dobu ale psal jenom do šuplíku. Na st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ední škole studoval hoteliérství a gastronomii a posléze na univerzit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v Tours aplikovanou lingvistiku. Bezmála 20 let pracoval v pohostinství – až dokud v n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m nedozrál nápad na první "opravdovou" knihu.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Hororový p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h Detroitští psi (Les Chiens de Détroit) vyšel v roce 2017, s 15 000 prodanými výtisky se stal jednozna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ným bestsellerem a dokonce si odnesl ocen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ní Plume Libre d'Argent z prestižního literárního festivalu v Cognacu. V následujících letech na jeho úsp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ch Loubry navázal thrillery Dvanáctá kapitola (Le Douzième chapitre) a Úto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išt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 xml:space="preserve"> (Les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Refuges). Díky tomu se mohl za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t psaní 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novat na plný úvazek a v sou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asnosti je považován za vycházející hv</w:t>
      </w:r>
      <w:r w:rsidRPr="00DB783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sz w:val="22"/>
          <w:szCs w:val="22"/>
          <w:lang w:eastAsia="en-US"/>
        </w:rPr>
        <w:t>zdu francouzského thilleru.</w:t>
      </w:r>
    </w:p>
    <w:p w:rsidR="00DB7831" w:rsidRPr="00DB7831" w:rsidRDefault="00DB7831" w:rsidP="00DB783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DB7831" w:rsidRPr="00DB7831" w:rsidRDefault="00DB7831" w:rsidP="00DB7831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„Temná zápletka se odvíjí stránku po stránce až k odhalení, které </w:t>
      </w:r>
      <w:r w:rsidRPr="00DB783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>tená</w:t>
      </w:r>
      <w:r w:rsidRPr="00DB783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>i vyrazí dech. Román, z n</w:t>
      </w:r>
      <w:r w:rsidRPr="00DB783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jž mrazí v zádech, ale který nelze odložit do poslední strany.“ </w:t>
      </w:r>
      <w:r w:rsidRPr="00DB7831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Aufeminin</w:t>
      </w:r>
    </w:p>
    <w:p w:rsidR="00DB7831" w:rsidRPr="00DB7831" w:rsidRDefault="00DB7831" w:rsidP="00DB7831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C7E72" w:rsidRDefault="00DB7831" w:rsidP="00DB7831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DB783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>Jérôme Loubry ovládá um</w:t>
      </w:r>
      <w:r w:rsidRPr="00DB783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>ní podstrkovat vám falešné stopy a znovu vás vtahovat do d</w:t>
      </w:r>
      <w:r w:rsidRPr="00DB783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>je. A vy se toho nem</w:t>
      </w:r>
      <w:r w:rsidRPr="00DB783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DB783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ete nabažit!“ </w:t>
      </w:r>
      <w:r w:rsidRPr="00DB7831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Sabrina Leloutreová, knihkupectví Lavigne pro </w:t>
      </w:r>
      <w:r w:rsidRPr="00DB7831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DB7831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asopis Page des Libraires</w:t>
      </w:r>
    </w:p>
    <w:p w:rsidR="00DB7831" w:rsidRDefault="00DB7831" w:rsidP="00DB783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1D0D" w:rsidRDefault="00C11D0D">
      <w:r>
        <w:separator/>
      </w:r>
    </w:p>
  </w:endnote>
  <w:endnote w:type="continuationSeparator" w:id="0">
    <w:p w:rsidR="00C11D0D" w:rsidRDefault="00C1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1D0D" w:rsidRDefault="00C11D0D">
      <w:r>
        <w:separator/>
      </w:r>
    </w:p>
  </w:footnote>
  <w:footnote w:type="continuationSeparator" w:id="0">
    <w:p w:rsidR="00C11D0D" w:rsidRDefault="00C1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500A8"/>
    <w:rsid w:val="0037384B"/>
    <w:rsid w:val="003A5595"/>
    <w:rsid w:val="003C1FC5"/>
    <w:rsid w:val="00414B0A"/>
    <w:rsid w:val="00421AEE"/>
    <w:rsid w:val="00432019"/>
    <w:rsid w:val="0043682C"/>
    <w:rsid w:val="00441692"/>
    <w:rsid w:val="0049599C"/>
    <w:rsid w:val="004A3A53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419D"/>
    <w:rsid w:val="005D4A58"/>
    <w:rsid w:val="005F66FA"/>
    <w:rsid w:val="0063391F"/>
    <w:rsid w:val="00682033"/>
    <w:rsid w:val="00685481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6673B"/>
    <w:rsid w:val="007D367E"/>
    <w:rsid w:val="007E3E82"/>
    <w:rsid w:val="007E7CD3"/>
    <w:rsid w:val="007F5EB1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11D0D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B7831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F0BDE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2916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5</cp:revision>
  <cp:lastPrinted>2005-11-10T11:15:00Z</cp:lastPrinted>
  <dcterms:created xsi:type="dcterms:W3CDTF">2020-08-07T11:07:00Z</dcterms:created>
  <dcterms:modified xsi:type="dcterms:W3CDTF">2020-08-07T13:31:00Z</dcterms:modified>
</cp:coreProperties>
</file>